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за 9 месяцев     2017 года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/>
      </w:tblPr>
      <w:tblGrid>
        <w:gridCol w:w="2746"/>
        <w:gridCol w:w="1256"/>
        <w:gridCol w:w="1216"/>
        <w:gridCol w:w="1064"/>
        <w:gridCol w:w="1963"/>
        <w:gridCol w:w="14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Предусмот-рено</w:t>
            </w:r>
            <w:proofErr w:type="spellEnd"/>
            <w:proofErr w:type="gramEnd"/>
            <w:r w:rsidRPr="00F360AA">
              <w:t xml:space="preserve">  в бюджете (тыс. руб.) на 2017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F360AA" w:rsidRDefault="00534C72">
            <w:pPr>
              <w:pStyle w:val="a3"/>
              <w:jc w:val="center"/>
            </w:pPr>
            <w:r w:rsidRPr="00F360AA">
              <w:t>1 кв.2017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3314,8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F360AA">
            <w:pPr>
              <w:pStyle w:val="a3"/>
              <w:jc w:val="center"/>
            </w:pPr>
            <w:r w:rsidRPr="00F360AA">
              <w:t>2</w:t>
            </w:r>
            <w:r w:rsidR="00340A58">
              <w:t>495,7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340A58">
            <w:pPr>
              <w:pStyle w:val="a3"/>
              <w:jc w:val="center"/>
            </w:pPr>
            <w:r>
              <w:t>75,3</w:t>
            </w:r>
            <w:r w:rsidR="00534C72" w:rsidRPr="00F360AA">
              <w:t>%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ConsPlusNormal0"/>
              <w:widowControl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34C72" w:rsidRPr="00F360AA" w:rsidRDefault="00534C72">
            <w:pPr>
              <w:pStyle w:val="ConsPlusNormal0"/>
              <w:widowControl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>оценки степени достижения запланированных значений целевых индикаторов составляет  76</w:t>
            </w:r>
            <w:r w:rsidR="00F360AA" w:rsidRPr="00F360AA">
              <w:rPr>
                <w:rFonts w:ascii="Times New Roman" w:hAnsi="Times New Roman"/>
                <w:sz w:val="24"/>
                <w:szCs w:val="24"/>
              </w:rPr>
              <w:t>,4</w:t>
            </w:r>
            <w:r w:rsidRPr="00F360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EE52E7">
            <w:pPr>
              <w:pStyle w:val="a3"/>
            </w:pPr>
            <w:r w:rsidRPr="00F360AA">
              <w:rPr>
                <w:rFonts w:cs="Times New Roman"/>
              </w:rPr>
              <w:t>реализация Программы признаётся  умеренно эффективной</w:t>
            </w: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>На 2017 год предусмотрено финансирование  на сумму 3314,8 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- 634,7 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уб.;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>- «Повышение качества жизни граждан пожилого возраста и инвалидов, проживающих на территории Мелекесского района Ульяновской области на 2017-2021 годы» - 2674,1 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уб.;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>- «Доступная среда муниципального образования «Мелекесский район» Ульяновской области на 2017-2021 годы» - 6,0 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</w:t>
      </w:r>
      <w:proofErr w:type="gramStart"/>
      <w:r w:rsidRPr="00F360AA">
        <w:rPr>
          <w:rFonts w:ascii="Times New Roman" w:hAnsi="Times New Roman"/>
          <w:sz w:val="28"/>
          <w:szCs w:val="28"/>
        </w:rPr>
        <w:t>я-</w:t>
      </w:r>
      <w:proofErr w:type="gramEnd"/>
      <w:r w:rsidRPr="00F360AA">
        <w:rPr>
          <w:rFonts w:ascii="Times New Roman" w:hAnsi="Times New Roman"/>
          <w:sz w:val="28"/>
          <w:szCs w:val="28"/>
        </w:rPr>
        <w:t xml:space="preserve">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 По итогам </w:t>
      </w:r>
      <w:r w:rsidR="00F360AA" w:rsidRPr="00F360AA">
        <w:rPr>
          <w:rFonts w:ascii="Times New Roman" w:hAnsi="Times New Roman"/>
          <w:sz w:val="28"/>
          <w:szCs w:val="28"/>
        </w:rPr>
        <w:t>9 месяцев</w:t>
      </w:r>
      <w:r w:rsidRPr="00F360AA">
        <w:rPr>
          <w:rFonts w:ascii="Times New Roman" w:hAnsi="Times New Roman"/>
          <w:sz w:val="28"/>
          <w:szCs w:val="28"/>
        </w:rPr>
        <w:t xml:space="preserve"> 2017 года, </w:t>
      </w:r>
      <w:r w:rsidRPr="00F360AA">
        <w:rPr>
          <w:rFonts w:ascii="Times New Roman" w:hAnsi="Times New Roman"/>
          <w:b/>
          <w:sz w:val="28"/>
          <w:szCs w:val="28"/>
        </w:rPr>
        <w:t xml:space="preserve">адресную и социальную помощь получили 1061 </w:t>
      </w:r>
      <w:r w:rsidRPr="00F360AA">
        <w:rPr>
          <w:rFonts w:ascii="Times New Roman" w:hAnsi="Times New Roman"/>
          <w:b/>
          <w:bCs/>
          <w:sz w:val="28"/>
          <w:szCs w:val="28"/>
        </w:rPr>
        <w:t>семья на общую сумму</w:t>
      </w:r>
      <w:r w:rsidRPr="00F360AA">
        <w:rPr>
          <w:rFonts w:ascii="Times New Roman" w:hAnsi="Times New Roman"/>
          <w:b/>
          <w:sz w:val="28"/>
          <w:szCs w:val="28"/>
        </w:rPr>
        <w:t xml:space="preserve"> </w:t>
      </w:r>
      <w:r w:rsidR="00340A58">
        <w:rPr>
          <w:rFonts w:ascii="Times New Roman" w:hAnsi="Times New Roman"/>
          <w:b/>
          <w:sz w:val="28"/>
          <w:szCs w:val="28"/>
        </w:rPr>
        <w:t>2495,7</w:t>
      </w:r>
      <w:r w:rsidRPr="00F360AA">
        <w:rPr>
          <w:rFonts w:ascii="Times New Roman" w:hAnsi="Times New Roman"/>
          <w:b/>
          <w:sz w:val="28"/>
          <w:szCs w:val="28"/>
        </w:rPr>
        <w:t xml:space="preserve"> тыс. руб.,</w:t>
      </w:r>
      <w:r w:rsidRPr="00F360AA">
        <w:rPr>
          <w:rFonts w:ascii="Times New Roman" w:hAnsi="Times New Roman"/>
          <w:sz w:val="28"/>
          <w:szCs w:val="28"/>
        </w:rPr>
        <w:t xml:space="preserve">  в том числе по подпрограммам: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</w:t>
      </w:r>
      <w:r w:rsidR="00340A58">
        <w:rPr>
          <w:rFonts w:ascii="Times New Roman" w:hAnsi="Times New Roman"/>
          <w:sz w:val="28"/>
          <w:szCs w:val="28"/>
        </w:rPr>
        <w:t>- 114 семей на общую сумму 234,4</w:t>
      </w:r>
      <w:r w:rsidRPr="00F360A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уб. (в связи с рождением ребенка, на приобретение лекарств и др.);</w:t>
      </w:r>
    </w:p>
    <w:p w:rsidR="00534C72" w:rsidRPr="008C1EA0" w:rsidRDefault="00534C72" w:rsidP="00B032AB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lastRenderedPageBreak/>
        <w:t xml:space="preserve">         - «Повышение качества жизни граждан пожилого возраста и инвалидов, проживающих на территории Мелекесского района Ульяновской области на 2017-2021 годы» </w:t>
      </w:r>
      <w:r w:rsidR="00340A58">
        <w:rPr>
          <w:rFonts w:ascii="Times New Roman" w:hAnsi="Times New Roman"/>
          <w:sz w:val="28"/>
          <w:szCs w:val="28"/>
        </w:rPr>
        <w:t>- 947 чел. на общую сумму 2258,3</w:t>
      </w:r>
      <w:r w:rsidRPr="00F360AA">
        <w:rPr>
          <w:rFonts w:ascii="Times New Roman" w:hAnsi="Times New Roman"/>
          <w:sz w:val="28"/>
          <w:szCs w:val="28"/>
        </w:rPr>
        <w:t xml:space="preserve"> тыс.руб. (на выплату муниципальной пенсии и материальная помощь в связи с пожаром, на ремонт жилья и др.).</w:t>
      </w:r>
      <w:r w:rsidRPr="008C1EA0">
        <w:rPr>
          <w:rFonts w:ascii="Times New Roman" w:hAnsi="Times New Roman"/>
          <w:sz w:val="28"/>
          <w:szCs w:val="28"/>
        </w:rPr>
        <w:t xml:space="preserve"> </w:t>
      </w:r>
    </w:p>
    <w:p w:rsidR="00534C72" w:rsidRPr="008C1EA0" w:rsidRDefault="00534C72" w:rsidP="00B032AB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>По «Доступной среде» израсходовано на изготовление баннера – 3 тыс. рублей.</w:t>
      </w:r>
    </w:p>
    <w:p w:rsidR="00534C72" w:rsidRPr="008C1EA0" w:rsidRDefault="00534C72">
      <w:pPr>
        <w:pStyle w:val="ConsPlusNormal0"/>
        <w:widowControl/>
        <w:ind w:firstLine="0"/>
        <w:jc w:val="both"/>
      </w:pPr>
      <w:r w:rsidRPr="008C1EA0">
        <w:rPr>
          <w:rFonts w:ascii="Times New Roman" w:hAnsi="Times New Roman"/>
          <w:i/>
          <w:sz w:val="28"/>
          <w:szCs w:val="28"/>
        </w:rPr>
        <w:t xml:space="preserve">  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8C1EA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8C1EA0">
        <w:rPr>
          <w:rFonts w:ascii="Times New Roman" w:hAnsi="Times New Roman"/>
          <w:i/>
          <w:sz w:val="28"/>
          <w:szCs w:val="28"/>
        </w:rPr>
        <w:t>=</w:t>
      </w:r>
      <w:r w:rsidR="00F360AA">
        <w:rPr>
          <w:rFonts w:ascii="Times New Roman" w:hAnsi="Times New Roman"/>
          <w:i/>
          <w:sz w:val="28"/>
          <w:szCs w:val="28"/>
          <w:u w:val="single"/>
        </w:rPr>
        <w:t>(100+100+79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+66</w:t>
      </w:r>
      <w:r w:rsidR="00F360AA">
        <w:rPr>
          <w:rFonts w:ascii="Times New Roman" w:hAnsi="Times New Roman"/>
          <w:i/>
          <w:sz w:val="28"/>
          <w:szCs w:val="28"/>
          <w:u w:val="single"/>
        </w:rPr>
        <w:t>,9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+12,5+</w:t>
      </w:r>
      <w:r w:rsidR="00F360AA">
        <w:rPr>
          <w:rFonts w:ascii="Times New Roman" w:hAnsi="Times New Roman"/>
          <w:i/>
          <w:sz w:val="28"/>
          <w:szCs w:val="28"/>
          <w:u w:val="single"/>
        </w:rPr>
        <w:t>10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0)</w:t>
      </w:r>
      <w:r w:rsidRPr="008C1EA0">
        <w:rPr>
          <w:rFonts w:ascii="Times New Roman" w:hAnsi="Times New Roman"/>
          <w:sz w:val="28"/>
          <w:szCs w:val="28"/>
        </w:rPr>
        <w:t>= 76</w:t>
      </w:r>
      <w:r w:rsidR="00F360AA">
        <w:rPr>
          <w:rFonts w:ascii="Times New Roman" w:hAnsi="Times New Roman"/>
          <w:sz w:val="28"/>
          <w:szCs w:val="28"/>
        </w:rPr>
        <w:t>,4</w:t>
      </w:r>
      <w:r w:rsidRPr="008C1EA0">
        <w:rPr>
          <w:rFonts w:ascii="Times New Roman" w:hAnsi="Times New Roman"/>
          <w:i/>
          <w:sz w:val="28"/>
          <w:szCs w:val="28"/>
        </w:rPr>
        <w:t>%</w:t>
      </w:r>
    </w:p>
    <w:p w:rsidR="00534C72" w:rsidRPr="008C1EA0" w:rsidRDefault="00534C72" w:rsidP="00B032AB">
      <w:pPr>
        <w:pStyle w:val="ConsPlusNormal0"/>
        <w:widowControl/>
        <w:ind w:firstLine="735"/>
        <w:jc w:val="both"/>
      </w:pPr>
      <w:r w:rsidRPr="008C1E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C1EA0">
        <w:rPr>
          <w:rFonts w:ascii="Times New Roman" w:hAnsi="Times New Roman"/>
          <w:i/>
          <w:sz w:val="28"/>
          <w:szCs w:val="28"/>
        </w:rPr>
        <w:t xml:space="preserve">                                                      6</w:t>
      </w: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579"/>
        <w:gridCol w:w="1439"/>
        <w:gridCol w:w="1440"/>
        <w:gridCol w:w="1355"/>
      </w:tblGrid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534C72" w:rsidRPr="008C1EA0" w:rsidRDefault="00534C72">
            <w:pPr>
              <w:pStyle w:val="a3"/>
              <w:spacing w:line="317" w:lineRule="exact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1EA0">
                <w:t>2017 г</w:t>
              </w:r>
            </w:smartTag>
            <w:r w:rsidRPr="008C1EA0">
              <w:t>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534C72" w:rsidRPr="008C1EA0" w:rsidRDefault="00534C72">
            <w:pPr>
              <w:pStyle w:val="a3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кв.2017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B032A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социальной поддержки беременным женщинам и семьям, </w:t>
            </w:r>
            <w:proofErr w:type="gramStart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оказавшихся</w:t>
            </w:r>
            <w:proofErr w:type="gramEnd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15,2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F360AA">
            <w:pPr>
              <w:pStyle w:val="a3"/>
              <w:spacing w:line="317" w:lineRule="exact"/>
              <w:jc w:val="center"/>
            </w:pPr>
            <w:r>
              <w:t>18,5</w:t>
            </w:r>
          </w:p>
          <w:p w:rsidR="00534C72" w:rsidRPr="008C1EA0" w:rsidRDefault="00F360AA">
            <w:pPr>
              <w:pStyle w:val="a3"/>
              <w:spacing w:line="317" w:lineRule="exact"/>
              <w:jc w:val="center"/>
            </w:pPr>
            <w:r>
              <w:t>(по данным МИАЦ за 8</w:t>
            </w:r>
            <w:r w:rsidR="00534C72" w:rsidRPr="008C1EA0">
              <w:t>мес)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F360AA">
            <w:pPr>
              <w:pStyle w:val="a3"/>
              <w:spacing w:line="317" w:lineRule="exact"/>
              <w:jc w:val="center"/>
            </w:pPr>
            <w:r>
              <w:t>79</w:t>
            </w:r>
            <w:r w:rsidR="00534C72" w:rsidRPr="008C1EA0"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12,7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F360AA">
            <w:pPr>
              <w:pStyle w:val="a3"/>
              <w:spacing w:line="317" w:lineRule="exact"/>
              <w:jc w:val="center"/>
            </w:pPr>
            <w:r>
              <w:t>8.5</w:t>
            </w:r>
          </w:p>
          <w:p w:rsidR="00534C72" w:rsidRPr="008C1EA0" w:rsidRDefault="00F360AA">
            <w:pPr>
              <w:pStyle w:val="a3"/>
              <w:spacing w:line="317" w:lineRule="exact"/>
              <w:jc w:val="center"/>
            </w:pPr>
            <w:r>
              <w:t>(по данным МИАЦ за 8</w:t>
            </w:r>
            <w:r w:rsidR="00534C72" w:rsidRPr="008C1EA0">
              <w:t>мес)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66</w:t>
            </w:r>
            <w:r w:rsidR="00F360AA">
              <w:t>,9</w:t>
            </w:r>
            <w:r w:rsidRPr="008C1EA0"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>- социальная поддержка молодых специалистов – медицинских работников – 8 человек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8 чел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12,5%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0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</w:t>
            </w:r>
          </w:p>
        </w:tc>
      </w:tr>
    </w:tbl>
    <w:p w:rsidR="00534C72" w:rsidRPr="008C1EA0" w:rsidRDefault="00534C72">
      <w:pPr>
        <w:pStyle w:val="a3"/>
      </w:pPr>
      <w:bookmarkStart w:id="0" w:name="_GoBack"/>
      <w:bookmarkEnd w:id="0"/>
    </w:p>
    <w:p w:rsidR="00534C72" w:rsidRPr="008C1EA0" w:rsidRDefault="00534C72" w:rsidP="00B032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 w:rsidRPr="008C1EA0">
        <w:rPr>
          <w:rFonts w:ascii="Times New Roman" w:hAnsi="Times New Roman"/>
          <w:sz w:val="28"/>
          <w:szCs w:val="28"/>
        </w:rPr>
        <w:t xml:space="preserve">Достижение целевых индикаторов по итогам </w:t>
      </w:r>
      <w:r w:rsidR="00F360AA">
        <w:rPr>
          <w:rFonts w:ascii="Times New Roman" w:hAnsi="Times New Roman"/>
          <w:sz w:val="28"/>
          <w:szCs w:val="28"/>
        </w:rPr>
        <w:t>9 месяцев</w:t>
      </w:r>
      <w:r w:rsidRPr="008C1EA0">
        <w:rPr>
          <w:rFonts w:ascii="Times New Roman" w:hAnsi="Times New Roman"/>
          <w:sz w:val="28"/>
          <w:szCs w:val="28"/>
        </w:rPr>
        <w:t xml:space="preserve"> оценить невозможно, так как все утвержденные программой индикаторы не имеют поквартальной разбивки и оцениваются по результатам года. </w:t>
      </w:r>
    </w:p>
    <w:bookmarkEnd w:id="1"/>
    <w:bookmarkEnd w:id="2"/>
    <w:p w:rsidR="00534C72" w:rsidRPr="00CA52DD" w:rsidRDefault="00534C72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C1EA0">
        <w:rPr>
          <w:b/>
          <w:i/>
          <w:sz w:val="28"/>
          <w:szCs w:val="28"/>
        </w:rPr>
        <w:t>Вывод: в целом реализация МП осуществляется планомерно, в соответствии с планом-графиком реализации</w:t>
      </w:r>
      <w:r w:rsidRPr="008C1EA0">
        <w:rPr>
          <w:rFonts w:cs="Times New Roman"/>
          <w:b/>
          <w:sz w:val="28"/>
          <w:szCs w:val="28"/>
        </w:rPr>
        <w:t xml:space="preserve"> и признаётся  умеренно</w:t>
      </w:r>
      <w:r w:rsidRPr="00B032AB">
        <w:rPr>
          <w:rFonts w:cs="Times New Roman"/>
          <w:b/>
          <w:sz w:val="28"/>
          <w:szCs w:val="28"/>
        </w:rPr>
        <w:t xml:space="preserve"> эффективной</w:t>
      </w:r>
      <w:r>
        <w:rPr>
          <w:rFonts w:cs="Times New Roman"/>
          <w:b/>
          <w:sz w:val="28"/>
          <w:szCs w:val="28"/>
        </w:rPr>
        <w:t>.</w:t>
      </w:r>
    </w:p>
    <w:p w:rsidR="00534C72" w:rsidRDefault="00534C72" w:rsidP="003B3CEE">
      <w:pPr>
        <w:pStyle w:val="a3"/>
      </w:pPr>
      <w:r>
        <w:rPr>
          <w:rFonts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cs="Times New Roman"/>
          <w:sz w:val="28"/>
          <w:szCs w:val="28"/>
        </w:rPr>
        <w:t>С.Д.Катиркина</w:t>
      </w:r>
      <w:proofErr w:type="spellEnd"/>
    </w:p>
    <w:sectPr w:rsidR="00534C72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4B"/>
    <w:rsid w:val="00046E4A"/>
    <w:rsid w:val="0006768A"/>
    <w:rsid w:val="00171674"/>
    <w:rsid w:val="00242C9E"/>
    <w:rsid w:val="002D711E"/>
    <w:rsid w:val="00307A43"/>
    <w:rsid w:val="00340A58"/>
    <w:rsid w:val="003A3676"/>
    <w:rsid w:val="003B3CEE"/>
    <w:rsid w:val="004E0AEA"/>
    <w:rsid w:val="004E1F17"/>
    <w:rsid w:val="004F3460"/>
    <w:rsid w:val="00533C96"/>
    <w:rsid w:val="00534C72"/>
    <w:rsid w:val="0054118A"/>
    <w:rsid w:val="0057785A"/>
    <w:rsid w:val="005E7278"/>
    <w:rsid w:val="006C4FE3"/>
    <w:rsid w:val="00713DDF"/>
    <w:rsid w:val="007E0DD4"/>
    <w:rsid w:val="007E600B"/>
    <w:rsid w:val="007F6108"/>
    <w:rsid w:val="00804DAF"/>
    <w:rsid w:val="00896C9E"/>
    <w:rsid w:val="008C1EA0"/>
    <w:rsid w:val="008C3793"/>
    <w:rsid w:val="009404CD"/>
    <w:rsid w:val="009D5546"/>
    <w:rsid w:val="00A94BED"/>
    <w:rsid w:val="00AB5466"/>
    <w:rsid w:val="00B032AB"/>
    <w:rsid w:val="00B25CE5"/>
    <w:rsid w:val="00C3464B"/>
    <w:rsid w:val="00C63724"/>
    <w:rsid w:val="00CA52DD"/>
    <w:rsid w:val="00CD3D3F"/>
    <w:rsid w:val="00D179C3"/>
    <w:rsid w:val="00D22F84"/>
    <w:rsid w:val="00D8103A"/>
    <w:rsid w:val="00E900BA"/>
    <w:rsid w:val="00EE52E7"/>
    <w:rsid w:val="00F360AA"/>
    <w:rsid w:val="00F53D9D"/>
    <w:rsid w:val="00FA6601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Экономист</dc:creator>
  <cp:keywords/>
  <dc:description/>
  <cp:lastModifiedBy>user</cp:lastModifiedBy>
  <cp:revision>6</cp:revision>
  <cp:lastPrinted>2017-10-16T05:35:00Z</cp:lastPrinted>
  <dcterms:created xsi:type="dcterms:W3CDTF">2017-10-09T12:01:00Z</dcterms:created>
  <dcterms:modified xsi:type="dcterms:W3CDTF">2017-10-16T05:35:00Z</dcterms:modified>
</cp:coreProperties>
</file>